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Calibri" w:cs="Calibri" w:eastAsia="Calibri" w:hAnsi="Calibri"/>
          <w:color w:val="434343"/>
          <w:sz w:val="32"/>
          <w:szCs w:val="32"/>
        </w:rPr>
      </w:pPr>
      <w:r w:rsidDel="00000000" w:rsidR="00000000" w:rsidRPr="00000000">
        <w:rPr>
          <w:rFonts w:ascii="Calibri" w:cs="Calibri" w:eastAsia="Calibri" w:hAnsi="Calibri"/>
          <w:b w:val="1"/>
          <w:color w:val="434343"/>
          <w:sz w:val="32"/>
          <w:szCs w:val="32"/>
          <w:rtl w:val="0"/>
        </w:rPr>
        <w:t xml:space="preserve">OVERVIEW of the Open Access Project                            </w:t>
      </w:r>
      <w:hyperlink r:id="rId6">
        <w:r w:rsidDel="00000000" w:rsidR="00000000" w:rsidRPr="00000000">
          <w:rPr>
            <w:rFonts w:ascii="Calibri" w:cs="Calibri" w:eastAsia="Calibri" w:hAnsi="Calibri"/>
            <w:b w:val="1"/>
            <w:color w:val="1155cc"/>
            <w:sz w:val="32"/>
            <w:szCs w:val="32"/>
            <w:u w:val="single"/>
            <w:rtl w:val="0"/>
          </w:rPr>
          <w:t xml:space="preserve">https://www.openaccess-ca.org/</w:t>
        </w:r>
      </w:hyperlink>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color w:val="434343"/>
          <w:sz w:val="32"/>
          <w:szCs w:val="32"/>
        </w:rPr>
      </w:pPr>
      <w:r w:rsidDel="00000000" w:rsidR="00000000" w:rsidRPr="00000000">
        <w:rPr>
          <w:rFonts w:ascii="Calibri" w:cs="Calibri" w:eastAsia="Calibri" w:hAnsi="Calibri"/>
          <w:b w:val="1"/>
          <w:color w:val="434343"/>
          <w:sz w:val="32"/>
          <w:szCs w:val="32"/>
          <w:rtl w:val="0"/>
        </w:rPr>
        <w:t xml:space="preserve">Overview of the  UDL project</w:t>
      </w:r>
    </w:p>
    <w:p w:rsidR="00000000" w:rsidDel="00000000" w:rsidP="00000000" w:rsidRDefault="00000000" w:rsidRPr="00000000" w14:paraId="00000003">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1</w:t>
      </w:r>
    </w:p>
    <w:p w:rsidR="00000000" w:rsidDel="00000000" w:rsidP="00000000" w:rsidRDefault="00000000" w:rsidRPr="00000000" w14:paraId="00000005">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This project is designed to support building a team at a SELPA or regional level that can effectively support </w:t>
      </w:r>
      <w:r w:rsidDel="00000000" w:rsidR="00000000" w:rsidRPr="00000000">
        <w:rPr>
          <w:rFonts w:ascii="Calibri" w:cs="Calibri" w:eastAsia="Calibri" w:hAnsi="Calibri"/>
          <w:color w:val="434343"/>
          <w:sz w:val="32"/>
          <w:szCs w:val="32"/>
          <w:rtl w:val="0"/>
        </w:rPr>
        <w:t xml:space="preserve">LEAs</w:t>
      </w:r>
      <w:r w:rsidDel="00000000" w:rsidR="00000000" w:rsidRPr="00000000">
        <w:rPr>
          <w:rFonts w:ascii="Calibri" w:cs="Calibri" w:eastAsia="Calibri" w:hAnsi="Calibri"/>
          <w:color w:val="434343"/>
          <w:sz w:val="32"/>
          <w:szCs w:val="32"/>
          <w:rtl w:val="0"/>
        </w:rPr>
        <w:t xml:space="preserve"> as they move from exploration of the UDL framework through the beginning stages of integrating it into practice.  </w:t>
      </w:r>
    </w:p>
    <w:p w:rsidR="00000000" w:rsidDel="00000000" w:rsidP="00000000" w:rsidRDefault="00000000" w:rsidRPr="00000000" w14:paraId="00000006">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2</w:t>
      </w:r>
    </w:p>
    <w:p w:rsidR="00000000" w:rsidDel="00000000" w:rsidP="00000000" w:rsidRDefault="00000000" w:rsidRPr="00000000" w14:paraId="00000008">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Although this is a SELPA content lead grant, for the UDL project it is ESSENTIAL that SELPAs work in collaboration with instructional leaders from the general education side of the building in order to build an integrated approach involving both general and special education as partners in the work. Trainers and coaches will need to represent the “one system” approach to addressing the needs of all learners in all settings. </w:t>
      </w:r>
    </w:p>
    <w:p w:rsidR="00000000" w:rsidDel="00000000" w:rsidP="00000000" w:rsidRDefault="00000000" w:rsidRPr="00000000" w14:paraId="00000009">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It is also important to recognize that UDL Implementation is most likely a 5-7 year process to fully realize; Out goal is to provide these regional leadership teams with the knowledge and tools to support their individual LEAs and sites as they navigate through </w:t>
      </w:r>
      <w:r w:rsidDel="00000000" w:rsidR="00000000" w:rsidRPr="00000000">
        <w:rPr>
          <w:rFonts w:ascii="Calibri" w:cs="Calibri" w:eastAsia="Calibri" w:hAnsi="Calibri"/>
          <w:b w:val="1"/>
          <w:color w:val="434343"/>
          <w:sz w:val="32"/>
          <w:szCs w:val="32"/>
          <w:rtl w:val="0"/>
        </w:rPr>
        <w:t xml:space="preserve">at least</w:t>
      </w:r>
      <w:r w:rsidDel="00000000" w:rsidR="00000000" w:rsidRPr="00000000">
        <w:rPr>
          <w:rFonts w:ascii="Calibri" w:cs="Calibri" w:eastAsia="Calibri" w:hAnsi="Calibri"/>
          <w:color w:val="434343"/>
          <w:sz w:val="32"/>
          <w:szCs w:val="32"/>
          <w:rtl w:val="0"/>
        </w:rPr>
        <w:t xml:space="preserve"> the first two phases of UDL implementation.</w:t>
      </w:r>
    </w:p>
    <w:p w:rsidR="00000000" w:rsidDel="00000000" w:rsidP="00000000" w:rsidRDefault="00000000" w:rsidRPr="00000000" w14:paraId="0000000B">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3</w:t>
      </w:r>
    </w:p>
    <w:p w:rsidR="00000000" w:rsidDel="00000000" w:rsidP="00000000" w:rsidRDefault="00000000" w:rsidRPr="00000000" w14:paraId="0000000D">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This is a visual of CAST’s UDL Implementation Process, which is based on the work of Implementation Science. As we work in partnership with your teams, our goal is to support [with training, coaching and implementation resources] LEAs or sites as they move through:</w:t>
      </w:r>
    </w:p>
    <w:p w:rsidR="00000000" w:rsidDel="00000000" w:rsidP="00000000" w:rsidRDefault="00000000" w:rsidRPr="00000000" w14:paraId="0000000E">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0F">
      <w:pPr>
        <w:widowControl w:val="0"/>
        <w:numPr>
          <w:ilvl w:val="1"/>
          <w:numId w:val="1"/>
        </w:numPr>
        <w:spacing w:line="240" w:lineRule="auto"/>
        <w:ind w:left="144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the </w:t>
      </w:r>
      <w:r w:rsidDel="00000000" w:rsidR="00000000" w:rsidRPr="00000000">
        <w:rPr>
          <w:rFonts w:ascii="Calibri" w:cs="Calibri" w:eastAsia="Calibri" w:hAnsi="Calibri"/>
          <w:b w:val="1"/>
          <w:color w:val="434343"/>
          <w:sz w:val="32"/>
          <w:szCs w:val="32"/>
          <w:rtl w:val="0"/>
        </w:rPr>
        <w:t xml:space="preserve">Explore Stage</w:t>
      </w:r>
      <w:r w:rsidDel="00000000" w:rsidR="00000000" w:rsidRPr="00000000">
        <w:rPr>
          <w:rFonts w:ascii="Calibri" w:cs="Calibri" w:eastAsia="Calibri" w:hAnsi="Calibri"/>
          <w:color w:val="434343"/>
          <w:sz w:val="32"/>
          <w:szCs w:val="32"/>
          <w:rtl w:val="0"/>
        </w:rPr>
        <w:t xml:space="preserve">, which is designed to build a common understanding around student needs and barriers to learning, and explore current attitudes and mindsets that support a shift to UDL</w:t>
      </w:r>
    </w:p>
    <w:p w:rsidR="00000000" w:rsidDel="00000000" w:rsidP="00000000" w:rsidRDefault="00000000" w:rsidRPr="00000000" w14:paraId="00000010">
      <w:pPr>
        <w:widowControl w:val="0"/>
        <w:numPr>
          <w:ilvl w:val="1"/>
          <w:numId w:val="1"/>
        </w:numPr>
        <w:spacing w:line="240" w:lineRule="auto"/>
        <w:ind w:left="144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the </w:t>
      </w:r>
      <w:r w:rsidDel="00000000" w:rsidR="00000000" w:rsidRPr="00000000">
        <w:rPr>
          <w:rFonts w:ascii="Calibri" w:cs="Calibri" w:eastAsia="Calibri" w:hAnsi="Calibri"/>
          <w:b w:val="1"/>
          <w:color w:val="434343"/>
          <w:sz w:val="32"/>
          <w:szCs w:val="32"/>
          <w:rtl w:val="0"/>
        </w:rPr>
        <w:t xml:space="preserve">Prepare Stage</w:t>
      </w:r>
      <w:r w:rsidDel="00000000" w:rsidR="00000000" w:rsidRPr="00000000">
        <w:rPr>
          <w:rFonts w:ascii="Calibri" w:cs="Calibri" w:eastAsia="Calibri" w:hAnsi="Calibri"/>
          <w:color w:val="434343"/>
          <w:sz w:val="32"/>
          <w:szCs w:val="32"/>
          <w:rtl w:val="0"/>
        </w:rPr>
        <w:t xml:space="preserve">, in which LEAs or sites take a look at the programs, initiatives, resources, and processes in place that relate to the UDL framework and identify barriers to the implementation of UDL</w:t>
      </w:r>
    </w:p>
    <w:p w:rsidR="00000000" w:rsidDel="00000000" w:rsidP="00000000" w:rsidRDefault="00000000" w:rsidRPr="00000000" w14:paraId="00000011">
      <w:pPr>
        <w:widowControl w:val="0"/>
        <w:numPr>
          <w:ilvl w:val="1"/>
          <w:numId w:val="1"/>
        </w:numPr>
        <w:spacing w:line="240" w:lineRule="auto"/>
        <w:ind w:left="144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and the </w:t>
      </w:r>
      <w:r w:rsidDel="00000000" w:rsidR="00000000" w:rsidRPr="00000000">
        <w:rPr>
          <w:rFonts w:ascii="Calibri" w:cs="Calibri" w:eastAsia="Calibri" w:hAnsi="Calibri"/>
          <w:b w:val="1"/>
          <w:color w:val="434343"/>
          <w:sz w:val="32"/>
          <w:szCs w:val="32"/>
          <w:rtl w:val="0"/>
        </w:rPr>
        <w:t xml:space="preserve">Launch into Integration Stage</w:t>
      </w:r>
      <w:r w:rsidDel="00000000" w:rsidR="00000000" w:rsidRPr="00000000">
        <w:rPr>
          <w:rFonts w:ascii="Calibri" w:cs="Calibri" w:eastAsia="Calibri" w:hAnsi="Calibri"/>
          <w:color w:val="434343"/>
          <w:sz w:val="32"/>
          <w:szCs w:val="32"/>
          <w:rtl w:val="0"/>
        </w:rPr>
        <w:t xml:space="preserve"> where an LEA or site moves forward in beginning to shift instructional design and delivery within a UDL model</w:t>
      </w:r>
    </w:p>
    <w:p w:rsidR="00000000" w:rsidDel="00000000" w:rsidP="00000000" w:rsidRDefault="00000000" w:rsidRPr="00000000" w14:paraId="00000012">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4</w:t>
      </w:r>
    </w:p>
    <w:p w:rsidR="00000000" w:rsidDel="00000000" w:rsidP="00000000" w:rsidRDefault="00000000" w:rsidRPr="00000000" w14:paraId="00000019">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So what will our partnership actually look like? </w:t>
      </w:r>
    </w:p>
    <w:p w:rsidR="00000000" w:rsidDel="00000000" w:rsidP="00000000" w:rsidRDefault="00000000" w:rsidRPr="00000000" w14:paraId="0000001A">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1B">
      <w:pPr>
        <w:widowControl w:val="0"/>
        <w:numPr>
          <w:ilvl w:val="0"/>
          <w:numId w:val="2"/>
        </w:numPr>
        <w:spacing w:line="240" w:lineRule="auto"/>
        <w:ind w:left="72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Each project is designed to span approximately two years:</w:t>
      </w:r>
    </w:p>
    <w:p w:rsidR="00000000" w:rsidDel="00000000" w:rsidP="00000000" w:rsidRDefault="00000000" w:rsidRPr="00000000" w14:paraId="0000001C">
      <w:pPr>
        <w:widowControl w:val="0"/>
        <w:numPr>
          <w:ilvl w:val="1"/>
          <w:numId w:val="2"/>
        </w:numPr>
        <w:spacing w:line="240" w:lineRule="auto"/>
        <w:ind w:left="144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Year one in a model of “we do” together followed by</w:t>
      </w:r>
    </w:p>
    <w:p w:rsidR="00000000" w:rsidDel="00000000" w:rsidP="00000000" w:rsidRDefault="00000000" w:rsidRPr="00000000" w14:paraId="0000001D">
      <w:pPr>
        <w:widowControl w:val="0"/>
        <w:numPr>
          <w:ilvl w:val="1"/>
          <w:numId w:val="2"/>
        </w:numPr>
        <w:spacing w:line="240" w:lineRule="auto"/>
        <w:ind w:left="144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Year two where the regional lead trainers and coaches will engage in another cycle with new participants (maybe a different LEA or a different site) in a “you do” model with Open Access staff providing coaching and mentoring support</w:t>
      </w:r>
    </w:p>
    <w:p w:rsidR="00000000" w:rsidDel="00000000" w:rsidP="00000000" w:rsidRDefault="00000000" w:rsidRPr="00000000" w14:paraId="0000001E">
      <w:pPr>
        <w:widowControl w:val="0"/>
        <w:numPr>
          <w:ilvl w:val="0"/>
          <w:numId w:val="2"/>
        </w:numPr>
        <w:spacing w:line="240" w:lineRule="auto"/>
        <w:ind w:left="72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We begin each cycle, with new participants, with a two-day “UDL Immersion” to build a shared mindset and vision with all participants.</w:t>
      </w:r>
    </w:p>
    <w:p w:rsidR="00000000" w:rsidDel="00000000" w:rsidP="00000000" w:rsidRDefault="00000000" w:rsidRPr="00000000" w14:paraId="0000001F">
      <w:pPr>
        <w:widowControl w:val="0"/>
        <w:numPr>
          <w:ilvl w:val="0"/>
          <w:numId w:val="2"/>
        </w:numPr>
        <w:spacing w:line="240" w:lineRule="auto"/>
        <w:ind w:left="72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This initial training will be aligned with the microcredential option built into CASTs Learning Designed platform so that participants can attain at least the first and potentially the second level of UDL credentialing. </w:t>
      </w:r>
    </w:p>
    <w:p w:rsidR="00000000" w:rsidDel="00000000" w:rsidP="00000000" w:rsidRDefault="00000000" w:rsidRPr="00000000" w14:paraId="00000020">
      <w:pPr>
        <w:widowControl w:val="0"/>
        <w:spacing w:line="240" w:lineRule="auto"/>
        <w:ind w:left="720" w:firstLine="0"/>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At this point, we will work with regional leads to develop and implement individualized training plans and individualized coaching plans, using an expansive library of curated and customized resources. Our goal is to ensure that training plans align with training priorities and needs of individual LEAs and sites, so a variety of platforms or models will be available to build from. This may include face-to-face and online training modules, self-learning resources, book studies, or PLC resources including lesson planning and UDL walkthrough resources.</w:t>
      </w:r>
    </w:p>
    <w:p w:rsidR="00000000" w:rsidDel="00000000" w:rsidP="00000000" w:rsidRDefault="00000000" w:rsidRPr="00000000" w14:paraId="00000022">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For more details, please make sure to download the overview on the “capacity building project” page of our website, and schedule a face to face time with us to answer your specific questions! </w:t>
      </w:r>
    </w:p>
    <w:p w:rsidR="00000000" w:rsidDel="00000000" w:rsidP="00000000" w:rsidRDefault="00000000" w:rsidRPr="00000000" w14:paraId="00000024">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color w:val="434343"/>
          <w:sz w:val="32"/>
          <w:szCs w:val="32"/>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color w:val="434343"/>
          <w:sz w:val="32"/>
          <w:szCs w:val="32"/>
        </w:rPr>
      </w:pPr>
      <w:r w:rsidDel="00000000" w:rsidR="00000000" w:rsidRPr="00000000">
        <w:rPr>
          <w:rFonts w:ascii="Calibri" w:cs="Calibri" w:eastAsia="Calibri" w:hAnsi="Calibri"/>
          <w:color w:val="434343"/>
          <w:sz w:val="32"/>
          <w:szCs w:val="32"/>
          <w:rtl w:val="0"/>
        </w:rPr>
        <w:t xml:space="preserve">***end***</w:t>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96"/>
        <w:szCs w:val="9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enacces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